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uppressAutoHyphens/>
        <w:topLinePunct w:val="1"/>
        <w:snapToGrid w:val="0"/>
        <w:spacing w:line="360" w:lineRule="auto"/>
        <w:jc w:val="center"/>
        <w:outlineLvl w:val="2"/>
        <w:rPr>
          <w:rFonts w:hint="eastAsia"/>
          <w:color w:val="000000"/>
          <w:spacing w:val="0"/>
          <w:sz w:val="32"/>
          <w:szCs w:val="32"/>
          <w:lang w:val="en-US" w:eastAsia="zh-CN"/>
        </w:rPr>
      </w:pPr>
      <w:bookmarkStart w:id="0" w:name="_Toc465350709"/>
      <w:bookmarkStart w:id="1" w:name="_Toc465180051"/>
    </w:p>
    <w:p>
      <w:pPr>
        <w:suppressAutoHyphens/>
        <w:topLinePunct w:val="1"/>
        <w:snapToGrid w:val="0"/>
        <w:spacing w:line="360" w:lineRule="auto"/>
        <w:jc w:val="center"/>
        <w:outlineLvl w:val="2"/>
        <w:rPr>
          <w:rFonts w:hint="eastAsia"/>
          <w:color w:val="000000"/>
          <w:spacing w:val="0"/>
          <w:sz w:val="32"/>
          <w:szCs w:val="32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jc w:val="center"/>
        <w:outlineLvl w:val="2"/>
        <w:rPr>
          <w:rFonts w:hint="eastAsia"/>
          <w:color w:val="000000"/>
          <w:spacing w:val="0"/>
          <w:sz w:val="32"/>
          <w:szCs w:val="32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jc w:val="center"/>
        <w:outlineLvl w:val="2"/>
        <w:rPr>
          <w:rFonts w:hint="eastAsia"/>
          <w:b/>
          <w:bCs/>
          <w:color w:val="000000"/>
          <w:spacing w:val="0"/>
          <w:sz w:val="32"/>
          <w:szCs w:val="32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jc w:val="center"/>
        <w:outlineLvl w:val="2"/>
        <w:rPr>
          <w:rFonts w:hint="eastAsia"/>
          <w:b/>
          <w:bCs/>
          <w:color w:val="000000"/>
          <w:spacing w:val="0"/>
          <w:sz w:val="32"/>
          <w:szCs w:val="32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jc w:val="center"/>
        <w:outlineLvl w:val="2"/>
        <w:rPr>
          <w:rFonts w:hint="eastAsia"/>
          <w:b/>
          <w:bCs/>
          <w:color w:val="000000"/>
          <w:spacing w:val="0"/>
          <w:sz w:val="32"/>
          <w:szCs w:val="32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jc w:val="center"/>
        <w:outlineLvl w:val="2"/>
        <w:rPr>
          <w:rFonts w:hint="eastAsia"/>
          <w:b/>
          <w:bCs/>
          <w:color w:val="000000"/>
          <w:spacing w:val="0"/>
          <w:sz w:val="32"/>
          <w:szCs w:val="32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jc w:val="center"/>
        <w:outlineLvl w:val="2"/>
        <w:rPr>
          <w:rFonts w:hint="eastAsia"/>
          <w:b/>
          <w:bCs/>
          <w:color w:val="000000"/>
          <w:spacing w:val="0"/>
          <w:sz w:val="32"/>
          <w:szCs w:val="32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ind w:firstLine="1606" w:firstLineChars="500"/>
        <w:jc w:val="both"/>
        <w:outlineLvl w:val="2"/>
        <w:rPr>
          <w:rFonts w:hint="eastAsia"/>
          <w:b/>
          <w:bCs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000000"/>
          <w:spacing w:val="0"/>
          <w:sz w:val="32"/>
          <w:szCs w:val="32"/>
          <w:lang w:val="en-US" w:eastAsia="zh-CN"/>
        </w:rPr>
        <w:t>淮北地区“十四五”电网发展研究</w:t>
      </w:r>
    </w:p>
    <w:p>
      <w:pPr>
        <w:suppressAutoHyphens/>
        <w:topLinePunct w:val="1"/>
        <w:snapToGrid w:val="0"/>
        <w:spacing w:line="360" w:lineRule="auto"/>
        <w:jc w:val="center"/>
        <w:outlineLvl w:val="2"/>
        <w:rPr>
          <w:rFonts w:hint="eastAsia" w:eastAsia="宋体"/>
          <w:b/>
          <w:bCs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000000"/>
          <w:spacing w:val="0"/>
          <w:sz w:val="32"/>
          <w:szCs w:val="32"/>
          <w:lang w:val="en-US" w:eastAsia="zh-CN"/>
        </w:rPr>
        <w:t>技术规范书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  <w:sz w:val="32"/>
          <w:szCs w:val="32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ind w:firstLine="2800" w:firstLineChars="1000"/>
        <w:jc w:val="both"/>
        <w:outlineLvl w:val="2"/>
        <w:rPr>
          <w:rFonts w:hint="eastAsia"/>
          <w:color w:val="000000"/>
          <w:spacing w:val="0"/>
          <w:sz w:val="28"/>
          <w:szCs w:val="28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ind w:firstLine="2800" w:firstLineChars="1000"/>
        <w:jc w:val="both"/>
        <w:outlineLvl w:val="2"/>
        <w:rPr>
          <w:rFonts w:hint="eastAsia"/>
          <w:color w:val="000000"/>
          <w:spacing w:val="0"/>
          <w:sz w:val="28"/>
          <w:szCs w:val="28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ind w:firstLine="2800" w:firstLineChars="1000"/>
        <w:jc w:val="both"/>
        <w:outlineLvl w:val="2"/>
        <w:rPr>
          <w:rFonts w:hint="eastAsia"/>
          <w:color w:val="000000"/>
          <w:spacing w:val="0"/>
          <w:sz w:val="28"/>
          <w:szCs w:val="28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ind w:firstLine="2800" w:firstLineChars="1000"/>
        <w:jc w:val="both"/>
        <w:outlineLvl w:val="2"/>
        <w:rPr>
          <w:rFonts w:hint="eastAsia"/>
          <w:color w:val="000000"/>
          <w:spacing w:val="0"/>
          <w:sz w:val="28"/>
          <w:szCs w:val="28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ind w:firstLine="2800" w:firstLineChars="1000"/>
        <w:jc w:val="both"/>
        <w:outlineLvl w:val="2"/>
        <w:rPr>
          <w:rFonts w:hint="eastAsia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/>
          <w:color w:val="000000"/>
          <w:spacing w:val="0"/>
          <w:sz w:val="28"/>
          <w:szCs w:val="28"/>
          <w:lang w:val="en-US" w:eastAsia="zh-CN"/>
        </w:rPr>
        <w:t>国网淮北供电公司</w:t>
      </w:r>
    </w:p>
    <w:p>
      <w:pPr>
        <w:suppressAutoHyphens/>
        <w:topLinePunct w:val="1"/>
        <w:snapToGrid w:val="0"/>
        <w:spacing w:line="360" w:lineRule="auto"/>
        <w:ind w:firstLine="3640" w:firstLineChars="1300"/>
        <w:jc w:val="left"/>
        <w:outlineLvl w:val="2"/>
        <w:rPr>
          <w:rFonts w:hint="eastAsia"/>
          <w:color w:val="000000"/>
          <w:spacing w:val="0"/>
          <w:sz w:val="28"/>
          <w:szCs w:val="28"/>
          <w:lang w:val="en-US"/>
        </w:rPr>
      </w:pPr>
      <w:r>
        <w:rPr>
          <w:rFonts w:hint="eastAsia"/>
          <w:color w:val="000000"/>
          <w:spacing w:val="0"/>
          <w:sz w:val="28"/>
          <w:szCs w:val="28"/>
          <w:lang w:val="en-US" w:eastAsia="zh-CN"/>
        </w:rPr>
        <w:t>2019.5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1 项目概述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1.1文件说明</w:t>
      </w:r>
    </w:p>
    <w:p>
      <w:pPr>
        <w:suppressAutoHyphens/>
        <w:topLinePunct w:val="1"/>
        <w:snapToGrid w:val="0"/>
        <w:spacing w:line="360" w:lineRule="auto"/>
        <w:ind w:firstLine="48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本技术规范书为淮北供电公司（以下简称甲方）对“淮北地区“十四五”电网发展研究项目的主要技术服务要求。</w:t>
      </w:r>
    </w:p>
    <w:p>
      <w:pPr>
        <w:suppressAutoHyphens/>
        <w:topLinePunct w:val="1"/>
        <w:snapToGrid w:val="0"/>
        <w:spacing w:line="360" w:lineRule="auto"/>
        <w:ind w:firstLine="720" w:firstLineChars="30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“淮北地区“十四五”电网发展研究”项目的主要技术服务要求项目提供商（以下简称乙方）应根据本文件中的相关说明和要求，提出技术建议、实施方案和报价。</w:t>
      </w:r>
    </w:p>
    <w:p>
      <w:pPr>
        <w:suppressAutoHyphens/>
        <w:topLinePunct w:val="1"/>
        <w:snapToGrid w:val="0"/>
        <w:spacing w:line="360" w:lineRule="auto"/>
        <w:ind w:firstLine="720" w:firstLineChars="30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乙方在应答书中，对本规划书中所提各项要求能否实现与满足，应逐项予以说明和答复，要求明确满足的程度，并作出具体、详细的说明。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1.2 技术标准</w:t>
      </w:r>
    </w:p>
    <w:p>
      <w:pPr>
        <w:suppressAutoHyphens/>
        <w:topLinePunct w:val="1"/>
        <w:snapToGrid w:val="0"/>
        <w:spacing w:line="360" w:lineRule="auto"/>
        <w:ind w:firstLine="720" w:firstLineChars="30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乙方提供的报告应符合的技术标准如下：</w:t>
      </w:r>
    </w:p>
    <w:p>
      <w:pPr>
        <w:suppressAutoHyphens/>
        <w:topLinePunct w:val="1"/>
        <w:snapToGrid w:val="0"/>
        <w:spacing w:line="360" w:lineRule="auto"/>
        <w:ind w:firstLine="720" w:firstLineChars="30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《城市电力规划规范》GB/T 50293-1999</w:t>
      </w:r>
    </w:p>
    <w:p>
      <w:pPr>
        <w:suppressAutoHyphens/>
        <w:topLinePunct w:val="1"/>
        <w:snapToGrid w:val="0"/>
        <w:spacing w:line="360" w:lineRule="auto"/>
        <w:ind w:firstLine="720" w:firstLineChars="30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《城市电力网规划设计导则》Q/GDW 156-2006</w:t>
      </w:r>
    </w:p>
    <w:p>
      <w:pPr>
        <w:suppressAutoHyphens/>
        <w:topLinePunct w:val="1"/>
        <w:snapToGrid w:val="0"/>
        <w:spacing w:line="360" w:lineRule="auto"/>
        <w:ind w:firstLine="720" w:firstLineChars="30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《电力系统技术导则》(试行)</w:t>
      </w:r>
    </w:p>
    <w:p>
      <w:pPr>
        <w:suppressAutoHyphens/>
        <w:topLinePunct w:val="1"/>
        <w:snapToGrid w:val="0"/>
        <w:spacing w:line="360" w:lineRule="auto"/>
        <w:ind w:firstLine="720" w:firstLineChars="30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《安徽地区电网规划导则》(2017)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1.3 产品要求</w:t>
      </w:r>
    </w:p>
    <w:p>
      <w:pPr>
        <w:suppressAutoHyphens/>
        <w:topLinePunct w:val="1"/>
        <w:snapToGrid w:val="0"/>
        <w:spacing w:line="360" w:lineRule="auto"/>
        <w:ind w:firstLine="48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 xml:space="preserve"> 乙方应按照本文件的要求提供项目的技术建议，乙方提供的各种报告、附表、附图应完全满足或者高于甲方提出的要求，对于本文件未规定的有关技术标准，乙方应提出建议，并陈述其理由。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1.4 文件解释权</w:t>
      </w:r>
    </w:p>
    <w:p>
      <w:pPr>
        <w:suppressAutoHyphens/>
        <w:topLinePunct w:val="1"/>
        <w:snapToGrid w:val="0"/>
        <w:spacing w:line="360" w:lineRule="auto"/>
        <w:ind w:firstLine="48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 xml:space="preserve">  甲方在任何时候保留和拥有对本文件的解释权。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2 项目描述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2.1 项目概述</w:t>
      </w:r>
    </w:p>
    <w:p>
      <w:pPr>
        <w:snapToGrid w:val="0"/>
        <w:spacing w:line="360" w:lineRule="auto"/>
        <w:ind w:firstLine="480" w:firstLineChars="200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电网规划是电网建设和发展的一个重要环节，科学电网规划对于指导电网建设具有重要的指导意义。“十四五”即将来临，编制淮北“十四五”电网规划，有助于明确淮北电网“十四五”发展目标，提前布局电网发展。</w:t>
      </w:r>
    </w:p>
    <w:p>
      <w:pPr>
        <w:widowControl/>
        <w:suppressAutoHyphens/>
        <w:topLinePunct w:val="1"/>
        <w:snapToGrid w:val="0"/>
        <w:spacing w:line="360" w:lineRule="auto"/>
        <w:ind w:firstLine="480" w:firstLineChars="200"/>
        <w:rPr>
          <w:color w:val="000000"/>
          <w:spacing w:val="0"/>
        </w:rPr>
      </w:pPr>
      <w:r>
        <w:rPr>
          <w:rFonts w:hint="eastAsia"/>
          <w:color w:val="000000"/>
          <w:spacing w:val="0"/>
          <w:lang w:val="en-US" w:eastAsia="zh-CN"/>
        </w:rPr>
        <w:t>本次淮北“十四五”电网规划涉及整个淮北地区，</w:t>
      </w:r>
      <w:r>
        <w:rPr>
          <w:rFonts w:hint="eastAsia"/>
          <w:color w:val="000000"/>
          <w:spacing w:val="0"/>
        </w:rPr>
        <w:t>包括</w:t>
      </w:r>
      <w:r>
        <w:rPr>
          <w:color w:val="000000"/>
          <w:spacing w:val="0"/>
        </w:rPr>
        <w:t>市辖区和下辖县（</w:t>
      </w:r>
      <w:r>
        <w:rPr>
          <w:rFonts w:hint="eastAsia"/>
          <w:color w:val="000000"/>
          <w:spacing w:val="0"/>
        </w:rPr>
        <w:t>市</w:t>
      </w:r>
      <w:r>
        <w:rPr>
          <w:color w:val="000000"/>
          <w:spacing w:val="0"/>
        </w:rPr>
        <w:t>）</w:t>
      </w:r>
      <w:r>
        <w:rPr>
          <w:rFonts w:hint="eastAsia"/>
          <w:color w:val="000000"/>
          <w:spacing w:val="0"/>
          <w:lang w:eastAsia="zh-CN"/>
        </w:rPr>
        <w:t>，</w:t>
      </w:r>
      <w:r>
        <w:rPr>
          <w:rFonts w:hint="eastAsia"/>
          <w:color w:val="000000"/>
          <w:spacing w:val="0"/>
          <w:lang w:val="en-US" w:eastAsia="zh-CN"/>
        </w:rPr>
        <w:t>以2018年为规划基准年，对</w:t>
      </w:r>
      <w:r>
        <w:rPr>
          <w:rFonts w:hint="eastAsia"/>
          <w:color w:val="000000"/>
          <w:spacing w:val="0"/>
        </w:rPr>
        <w:t>201</w:t>
      </w:r>
      <w:r>
        <w:rPr>
          <w:rFonts w:hint="eastAsia"/>
          <w:color w:val="000000"/>
          <w:spacing w:val="0"/>
          <w:lang w:val="en-US" w:eastAsia="zh-CN"/>
        </w:rPr>
        <w:t>9</w:t>
      </w:r>
      <w:r>
        <w:rPr>
          <w:color w:val="000000"/>
          <w:spacing w:val="0"/>
        </w:rPr>
        <w:t>~2025</w:t>
      </w:r>
      <w:r>
        <w:rPr>
          <w:rFonts w:hint="eastAsia"/>
          <w:color w:val="000000"/>
          <w:spacing w:val="0"/>
        </w:rPr>
        <w:t>年</w:t>
      </w:r>
      <w:r>
        <w:rPr>
          <w:color w:val="000000"/>
          <w:spacing w:val="0"/>
        </w:rPr>
        <w:t>逐年</w:t>
      </w:r>
      <w:r>
        <w:rPr>
          <w:rFonts w:hint="eastAsia"/>
          <w:color w:val="000000"/>
          <w:spacing w:val="0"/>
          <w:lang w:eastAsia="zh-CN"/>
        </w:rPr>
        <w:t>进行规划，同时对</w:t>
      </w:r>
      <w:r>
        <w:rPr>
          <w:rFonts w:hint="eastAsia"/>
          <w:color w:val="000000"/>
          <w:spacing w:val="0"/>
        </w:rPr>
        <w:t>2030年</w:t>
      </w:r>
      <w:r>
        <w:rPr>
          <w:color w:val="000000"/>
          <w:spacing w:val="0"/>
        </w:rPr>
        <w:t>、</w:t>
      </w:r>
      <w:r>
        <w:rPr>
          <w:rFonts w:hint="eastAsia"/>
          <w:color w:val="000000"/>
          <w:spacing w:val="0"/>
        </w:rPr>
        <w:t>2035年</w:t>
      </w:r>
      <w:r>
        <w:rPr>
          <w:color w:val="000000"/>
          <w:spacing w:val="0"/>
        </w:rPr>
        <w:t>规划进行展望</w:t>
      </w:r>
      <w:r>
        <w:rPr>
          <w:rFonts w:hint="eastAsia"/>
          <w:color w:val="000000"/>
          <w:spacing w:val="0"/>
          <w:lang w:eastAsia="zh-CN"/>
        </w:rPr>
        <w:t>，规划电压等级为</w:t>
      </w:r>
      <w:r>
        <w:rPr>
          <w:color w:val="000000"/>
          <w:spacing w:val="0"/>
        </w:rPr>
        <w:t>35kV~500kV电网，</w:t>
      </w:r>
      <w:r>
        <w:rPr>
          <w:rFonts w:hint="eastAsia"/>
          <w:color w:val="000000"/>
          <w:spacing w:val="0"/>
          <w:lang w:eastAsia="zh-CN"/>
        </w:rPr>
        <w:t>提出</w:t>
      </w:r>
      <w:r>
        <w:rPr>
          <w:rFonts w:hint="eastAsia"/>
          <w:color w:val="000000"/>
          <w:spacing w:val="0"/>
          <w:lang w:val="en-US" w:eastAsia="zh-CN"/>
        </w:rPr>
        <w:t>500kV布点需求，</w:t>
      </w:r>
      <w:r>
        <w:rPr>
          <w:color w:val="000000"/>
          <w:spacing w:val="0"/>
        </w:rPr>
        <w:t>重点对220kV主网架以及110kV电网结构进行研究。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2.2 项目目标</w:t>
      </w:r>
    </w:p>
    <w:p>
      <w:pPr>
        <w:snapToGrid w:val="0"/>
        <w:spacing w:line="360" w:lineRule="auto"/>
        <w:rPr>
          <w:rFonts w:hint="eastAsia" w:ascii="仿宋_GB2312" w:hAnsi="宋体"/>
          <w:spacing w:val="-6"/>
          <w:lang w:val="en-US" w:eastAsia="zh-CN"/>
        </w:rPr>
      </w:pPr>
      <w:r>
        <w:rPr>
          <w:rFonts w:hint="eastAsia" w:ascii="仿宋_GB2312" w:hAnsi="宋体"/>
          <w:spacing w:val="-6"/>
          <w:lang w:val="en-US" w:eastAsia="zh-CN"/>
        </w:rPr>
        <w:t xml:space="preserve">    本项目具体目标如下：</w:t>
      </w:r>
    </w:p>
    <w:p>
      <w:pPr>
        <w:snapToGrid w:val="0"/>
        <w:spacing w:line="360" w:lineRule="auto"/>
        <w:ind w:firstLine="432"/>
        <w:rPr>
          <w:rFonts w:hint="eastAsia" w:ascii="仿宋_GB2312" w:hAnsi="宋体"/>
          <w:spacing w:val="-6"/>
          <w:lang w:val="en-US" w:eastAsia="zh-CN"/>
        </w:rPr>
      </w:pPr>
      <w:r>
        <w:rPr>
          <w:rFonts w:hint="eastAsia" w:ascii="仿宋_GB2312" w:hAnsi="宋体"/>
          <w:spacing w:val="-6"/>
          <w:lang w:val="en-US" w:eastAsia="zh-CN"/>
        </w:rPr>
        <w:t xml:space="preserve">项目的具体内容包括淮北地区概况及总体发展规划、地区电网概况、规划工作思路及原则、电力需求预测、电源建设方案、上级电网规划建议、220千伏电网规划、110kV网架规划、220千伏与配电网规划衔接情况、根据淮北濉溪县南部地区矿区重要用户运行特性调研结果，与宿州、亳州、蚌埠公司联合讨论，提出淮北与亳州、蚌埠等电网解环点的选择和时序方案，编制专题报告。开展新能源消纳专题分析，提出新能源消纳建议方案，编制新能源消纳分析专题报告。网架建设规模与投资分析、规划电网本质安全要点清单、主要结论及建议等内容。 </w:t>
      </w:r>
    </w:p>
    <w:p>
      <w:pPr>
        <w:snapToGrid w:val="0"/>
        <w:spacing w:line="360" w:lineRule="auto"/>
        <w:ind w:firstLine="432"/>
        <w:rPr>
          <w:rFonts w:hint="eastAsia" w:ascii="仿宋_GB2312" w:hAnsi="宋体"/>
          <w:spacing w:val="-6"/>
          <w:lang w:val="en-US" w:eastAsia="zh-CN"/>
        </w:rPr>
      </w:pPr>
      <w:r>
        <w:rPr>
          <w:rFonts w:hint="eastAsia" w:ascii="仿宋_GB2312" w:hAnsi="宋体"/>
          <w:spacing w:val="-6"/>
          <w:lang w:val="en-US" w:eastAsia="zh-CN"/>
        </w:rPr>
        <w:t>具体提供资料如下：</w:t>
      </w:r>
    </w:p>
    <w:p>
      <w:pPr>
        <w:numPr>
          <w:ilvl w:val="0"/>
          <w:numId w:val="1"/>
        </w:numPr>
        <w:suppressAutoHyphens/>
        <w:topLinePunct w:val="1"/>
        <w:snapToGrid w:val="0"/>
        <w:spacing w:line="360" w:lineRule="auto"/>
        <w:ind w:firstLine="48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需提供规划报告1份，内容富含上述内容。</w:t>
      </w:r>
    </w:p>
    <w:p>
      <w:pPr>
        <w:numPr>
          <w:ilvl w:val="0"/>
          <w:numId w:val="1"/>
        </w:numPr>
        <w:suppressAutoHyphens/>
        <w:topLinePunct w:val="1"/>
        <w:snapToGrid w:val="0"/>
        <w:spacing w:line="360" w:lineRule="auto"/>
        <w:ind w:firstLine="48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提供煤矿客户双电源治理专项报告、淮宿地区新能源消纳报告</w:t>
      </w:r>
    </w:p>
    <w:p>
      <w:pPr>
        <w:suppressAutoHyphens/>
        <w:topLinePunct w:val="1"/>
        <w:snapToGrid w:val="0"/>
        <w:spacing w:line="360" w:lineRule="auto"/>
        <w:ind w:firstLine="662" w:firstLineChars="276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（3）2019-2025年逐年、2030年、2035年电网接线示意图</w:t>
      </w:r>
    </w:p>
    <w:p>
      <w:pPr>
        <w:suppressAutoHyphens/>
        <w:topLinePunct w:val="1"/>
        <w:snapToGrid w:val="0"/>
        <w:spacing w:line="360" w:lineRule="auto"/>
        <w:ind w:firstLine="662" w:firstLineChars="276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（4）附表1份，内含负荷预测结果、变电容量平衡、电网电源建设安排、电网2020、2025、2030年电网规划指标表、规划电网本质安全要点清单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3 技术服务要求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3.1 项目实施原则</w:t>
      </w:r>
    </w:p>
    <w:p>
      <w:pPr>
        <w:widowControl/>
        <w:suppressAutoHyphens/>
        <w:topLinePunct w:val="1"/>
        <w:snapToGrid w:val="0"/>
        <w:spacing w:line="360" w:lineRule="auto"/>
        <w:ind w:firstLine="480" w:firstLineChars="200"/>
        <w:rPr>
          <w:rFonts w:hint="eastAsia"/>
          <w:color w:val="000000"/>
          <w:spacing w:val="0"/>
        </w:rPr>
      </w:pPr>
      <w:r>
        <w:rPr>
          <w:rFonts w:hint="eastAsia"/>
          <w:color w:val="000000"/>
          <w:spacing w:val="0"/>
          <w:sz w:val="24"/>
          <w:szCs w:val="24"/>
        </w:rPr>
        <w:t>规划</w:t>
      </w:r>
      <w:r>
        <w:rPr>
          <w:rFonts w:hint="eastAsia"/>
          <w:color w:val="000000"/>
          <w:spacing w:val="0"/>
          <w:sz w:val="24"/>
          <w:szCs w:val="24"/>
          <w:lang w:eastAsia="zh-CN"/>
        </w:rPr>
        <w:t>应在</w:t>
      </w:r>
      <w:r>
        <w:rPr>
          <w:rFonts w:hint="eastAsia" w:ascii="宋体" w:hAnsi="宋体"/>
          <w:sz w:val="24"/>
          <w:szCs w:val="24"/>
        </w:rPr>
        <w:t>摸清发展现状</w:t>
      </w:r>
      <w:r>
        <w:rPr>
          <w:rFonts w:hint="eastAsia" w:ascii="宋体" w:hAnsi="宋体"/>
          <w:sz w:val="24"/>
          <w:szCs w:val="24"/>
          <w:lang w:eastAsia="zh-CN"/>
        </w:rPr>
        <w:t>的基础上，</w:t>
      </w:r>
      <w:r>
        <w:rPr>
          <w:rFonts w:hint="eastAsia" w:ascii="宋体" w:hAnsi="宋体"/>
          <w:sz w:val="24"/>
          <w:szCs w:val="24"/>
        </w:rPr>
        <w:t>明确发展趋势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衔接上下级电网规划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贯彻和落实精准投资的理念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提高清洁能源消纳能力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应对电力体制改革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积极采用电网新技术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/>
          <w:color w:val="000000"/>
          <w:spacing w:val="0"/>
        </w:rPr>
        <w:t>通过科学的规划</w:t>
      </w:r>
      <w:r>
        <w:rPr>
          <w:color w:val="000000"/>
          <w:spacing w:val="0"/>
        </w:rPr>
        <w:t>，建设网络坚强、</w:t>
      </w:r>
      <w:r>
        <w:rPr>
          <w:rFonts w:hint="eastAsia"/>
          <w:color w:val="000000"/>
          <w:spacing w:val="0"/>
        </w:rPr>
        <w:t>结构合理</w:t>
      </w:r>
      <w:r>
        <w:rPr>
          <w:color w:val="000000"/>
          <w:spacing w:val="0"/>
        </w:rPr>
        <w:t>、安全可靠、</w:t>
      </w:r>
      <w:r>
        <w:rPr>
          <w:rFonts w:hint="eastAsia"/>
          <w:color w:val="000000"/>
          <w:spacing w:val="0"/>
        </w:rPr>
        <w:t>运行灵活</w:t>
      </w:r>
      <w:r>
        <w:rPr>
          <w:color w:val="000000"/>
          <w:spacing w:val="0"/>
        </w:rPr>
        <w:t>、节能环保、经济高效的地区电网，不断提高地区电网</w:t>
      </w:r>
      <w:r>
        <w:rPr>
          <w:rFonts w:hint="eastAsia"/>
          <w:color w:val="000000"/>
          <w:spacing w:val="0"/>
        </w:rPr>
        <w:t>的供电能力</w:t>
      </w:r>
      <w:r>
        <w:rPr>
          <w:color w:val="000000"/>
          <w:spacing w:val="0"/>
        </w:rPr>
        <w:t>和</w:t>
      </w:r>
      <w:r>
        <w:rPr>
          <w:rFonts w:hint="eastAsia"/>
          <w:color w:val="000000"/>
          <w:spacing w:val="0"/>
        </w:rPr>
        <w:t>电能</w:t>
      </w:r>
      <w:r>
        <w:rPr>
          <w:color w:val="000000"/>
          <w:spacing w:val="0"/>
        </w:rPr>
        <w:t>质量，以满足地区经济和社会发展需要</w:t>
      </w:r>
      <w:r>
        <w:rPr>
          <w:rFonts w:hint="eastAsia"/>
          <w:color w:val="000000"/>
          <w:spacing w:val="0"/>
        </w:rPr>
        <w:t>。</w:t>
      </w:r>
    </w:p>
    <w:p>
      <w:pPr>
        <w:widowControl/>
        <w:suppressAutoHyphens/>
        <w:topLinePunct w:val="1"/>
        <w:snapToGrid w:val="0"/>
        <w:spacing w:line="360" w:lineRule="auto"/>
        <w:ind w:firstLine="480" w:firstLineChars="200"/>
        <w:rPr>
          <w:rFonts w:hint="eastAsia" w:eastAsia="宋体"/>
          <w:color w:val="000000"/>
          <w:spacing w:val="0"/>
          <w:lang w:eastAsia="zh-CN"/>
        </w:rPr>
      </w:pPr>
      <w:r>
        <w:rPr>
          <w:rFonts w:hint="eastAsia"/>
          <w:color w:val="000000"/>
          <w:spacing w:val="0"/>
          <w:lang w:eastAsia="zh-CN"/>
        </w:rPr>
        <w:t>项目应遵循保密原则。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3.2 总体要求</w:t>
      </w:r>
    </w:p>
    <w:p>
      <w:pPr>
        <w:widowControl/>
        <w:suppressAutoHyphens/>
        <w:topLinePunct w:val="1"/>
        <w:snapToGrid w:val="0"/>
        <w:spacing w:line="360" w:lineRule="auto"/>
        <w:ind w:firstLine="480" w:firstLineChars="200"/>
        <w:rPr>
          <w:rFonts w:hint="eastAsia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/>
          <w:color w:val="000000"/>
          <w:spacing w:val="0"/>
          <w:sz w:val="24"/>
          <w:szCs w:val="24"/>
          <w:lang w:val="en-US" w:eastAsia="zh-CN"/>
        </w:rPr>
        <w:t>（1）乙方应详细描述规划的整体技术方案，报告内容详实。</w:t>
      </w:r>
    </w:p>
    <w:p>
      <w:pPr>
        <w:widowControl/>
        <w:suppressAutoHyphens/>
        <w:topLinePunct w:val="1"/>
        <w:snapToGrid w:val="0"/>
        <w:spacing w:line="360" w:lineRule="auto"/>
        <w:ind w:firstLine="480" w:firstLineChars="200"/>
        <w:rPr>
          <w:rFonts w:hint="eastAsia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/>
          <w:color w:val="000000"/>
          <w:spacing w:val="0"/>
          <w:sz w:val="24"/>
          <w:szCs w:val="24"/>
          <w:lang w:val="en-US" w:eastAsia="zh-CN"/>
        </w:rPr>
        <w:t>（2）乙方提供甲方配合的内容，具体包括人员、提供的资料等。</w:t>
      </w:r>
    </w:p>
    <w:p>
      <w:pPr>
        <w:widowControl/>
        <w:suppressAutoHyphens/>
        <w:topLinePunct w:val="1"/>
        <w:snapToGrid w:val="0"/>
        <w:spacing w:line="360" w:lineRule="auto"/>
        <w:ind w:firstLine="480" w:firstLineChars="200"/>
        <w:rPr>
          <w:rFonts w:hint="eastAsia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/>
          <w:color w:val="000000"/>
          <w:spacing w:val="0"/>
          <w:sz w:val="24"/>
          <w:szCs w:val="24"/>
          <w:lang w:val="en-US" w:eastAsia="zh-CN"/>
        </w:rPr>
        <w:t>（3）乙方提供单位背景材料和评估服务业绩说明。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3.3 项目技术服务</w:t>
      </w:r>
    </w:p>
    <w:p>
      <w:pPr>
        <w:numPr>
          <w:numId w:val="0"/>
        </w:numPr>
        <w:suppressAutoHyphens/>
        <w:topLinePunct w:val="1"/>
        <w:snapToGrid w:val="0"/>
        <w:spacing w:line="360" w:lineRule="auto"/>
        <w:ind w:firstLine="480" w:firstLineChars="20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（1）收集相关资料、制定报告整体框架。</w:t>
      </w:r>
    </w:p>
    <w:p>
      <w:pPr>
        <w:numPr>
          <w:numId w:val="0"/>
        </w:numPr>
        <w:suppressAutoHyphens/>
        <w:topLinePunct w:val="1"/>
        <w:snapToGrid w:val="0"/>
        <w:spacing w:line="360" w:lineRule="auto"/>
        <w:ind w:firstLine="48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（2）提交规划报告、两个专题报告、附图、附表。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3.4 验收成果与形式</w:t>
      </w:r>
    </w:p>
    <w:p>
      <w:pPr>
        <w:snapToGrid w:val="0"/>
        <w:spacing w:line="360" w:lineRule="auto"/>
        <w:ind w:firstLine="480" w:firstLineChars="200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本项目按照本文件中技术服务内容要求（3.3）、技术服务时间要求（4）、验收项目目标（2.2）的完成情况。</w:t>
      </w: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  <w:r>
        <w:rPr>
          <w:rFonts w:hint="eastAsia"/>
          <w:b/>
          <w:bCs/>
          <w:color w:val="000000"/>
          <w:spacing w:val="0"/>
          <w:lang w:val="en-US" w:eastAsia="zh-CN"/>
        </w:rPr>
        <w:t>4 技术服务时间要求</w:t>
      </w:r>
      <w:bookmarkStart w:id="2" w:name="_GoBack"/>
      <w:bookmarkEnd w:id="2"/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b/>
          <w:bCs/>
          <w:color w:val="000000"/>
          <w:spacing w:val="0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ind w:firstLine="240" w:firstLineChars="100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（1）7月完成基础资料收资</w:t>
      </w:r>
    </w:p>
    <w:p>
      <w:pPr>
        <w:snapToGrid w:val="0"/>
        <w:spacing w:line="360" w:lineRule="auto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（2）8月完成网架方案、电气计算校核等工作</w:t>
      </w:r>
    </w:p>
    <w:p>
      <w:pPr>
        <w:snapToGrid w:val="0"/>
        <w:spacing w:line="360" w:lineRule="auto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（3）9月初完成整体报告编制</w:t>
      </w:r>
    </w:p>
    <w:p>
      <w:pPr>
        <w:snapToGrid w:val="0"/>
        <w:spacing w:line="360" w:lineRule="auto"/>
        <w:rPr>
          <w:rFonts w:hint="eastAsia"/>
          <w:color w:val="000000"/>
          <w:spacing w:val="0"/>
          <w:lang w:val="en-US" w:eastAsia="zh-CN"/>
        </w:rPr>
      </w:pPr>
      <w:r>
        <w:rPr>
          <w:rFonts w:hint="eastAsia"/>
          <w:color w:val="000000"/>
          <w:spacing w:val="0"/>
          <w:lang w:val="en-US" w:eastAsia="zh-CN"/>
        </w:rPr>
        <w:t>（4）后续结合审查完成报告修改工作</w:t>
      </w:r>
    </w:p>
    <w:p>
      <w:pPr>
        <w:snapToGrid w:val="0"/>
        <w:spacing w:line="360" w:lineRule="auto"/>
        <w:rPr>
          <w:rFonts w:hint="eastAsia"/>
          <w:color w:val="000000"/>
          <w:spacing w:val="0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</w:p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</w:p>
    <w:bookmarkEnd w:id="0"/>
    <w:bookmarkEnd w:id="1"/>
    <w:p>
      <w:pPr>
        <w:suppressAutoHyphens/>
        <w:topLinePunct w:val="1"/>
        <w:snapToGrid w:val="0"/>
        <w:spacing w:line="360" w:lineRule="auto"/>
        <w:jc w:val="left"/>
        <w:outlineLvl w:val="2"/>
        <w:rPr>
          <w:rFonts w:hint="eastAsia"/>
          <w:color w:val="000000"/>
          <w:spacing w:val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977702627">
    <w:nsid w:val="3A468EE3"/>
    <w:multiLevelType w:val="singleLevel"/>
    <w:tmpl w:val="3A468EE3"/>
    <w:lvl w:ilvl="0" w:tentative="1">
      <w:start w:val="1"/>
      <w:numFmt w:val="decimal"/>
      <w:suff w:val="nothing"/>
      <w:lvlText w:val="（%1）"/>
      <w:lvlJc w:val="left"/>
    </w:lvl>
  </w:abstractNum>
  <w:num w:numId="1">
    <w:abstractNumId w:val="9777026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adjustRightInd w:val="0"/>
      <w:spacing w:line="430" w:lineRule="atLeast"/>
      <w:jc w:val="both"/>
      <w:textAlignment w:val="baseline"/>
    </w:pPr>
    <w:rPr>
      <w:rFonts w:ascii="Times New Roman" w:hAnsi="Times New Roman" w:eastAsia="宋体" w:cs="Times New Roman"/>
      <w:spacing w:val="16"/>
      <w:sz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等线" w:hAnsi="等线" w:eastAsia="等线" w:cs="黑体"/>
      <w:spacing w:val="0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等线" w:hAnsi="等线" w:eastAsia="等线" w:cs="黑体"/>
      <w:spacing w:val="0"/>
      <w:kern w:val="2"/>
      <w:sz w:val="18"/>
      <w:szCs w:val="18"/>
    </w:rPr>
  </w:style>
  <w:style w:type="character" w:styleId="5">
    <w:name w:val="Hyperlink"/>
    <w:unhideWhenUsed/>
    <w:qFormat/>
    <w:uiPriority w:val="99"/>
    <w:rPr>
      <w:rFonts w:cs="Times New Roman"/>
      <w:color w:val="0563C1"/>
      <w:u w:val="single"/>
    </w:rPr>
  </w:style>
  <w:style w:type="paragraph" w:customStyle="1" w:styleId="6">
    <w:name w:val="Char Char Char Char"/>
    <w:basedOn w:val="1"/>
    <w:qFormat/>
    <w:uiPriority w:val="0"/>
    <w:pPr>
      <w:keepNext/>
      <w:widowControl/>
      <w:tabs>
        <w:tab w:val="left" w:pos="425"/>
      </w:tabs>
      <w:autoSpaceDE w:val="0"/>
      <w:autoSpaceDN w:val="0"/>
      <w:spacing w:before="80" w:after="80" w:line="240" w:lineRule="auto"/>
      <w:ind w:hanging="425"/>
      <w:textAlignment w:val="auto"/>
    </w:pPr>
    <w:rPr>
      <w:rFonts w:ascii="Arial" w:hAnsi="Arial" w:cs="Arial"/>
      <w:spacing w:val="0"/>
      <w:kern w:val="2"/>
      <w:sz w:val="20"/>
    </w:r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character" w:customStyle="1" w:styleId="9">
    <w:name w:val="word21"/>
    <w:qFormat/>
    <w:uiPriority w:val="0"/>
    <w:rPr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984</Characters>
  <Lines>8</Lines>
  <Paragraphs>2</Paragraphs>
  <TotalTime>0</TotalTime>
  <ScaleCrop>false</ScaleCrop>
  <LinksUpToDate>false</LinksUpToDate>
  <CharactersWithSpaces>0</CharactersWithSpaces>
  <Application>WPS Office 专业版_9.1.0.4475_{F1E327BC-269C-435d-A152-05C5408002CA}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2018-01-21T02:00:00Z</dcterms:created>
  <dc:creator>毛福斌</dc:creator>
  <cp:lastModifiedBy>Administrator</cp:lastModifiedBy>
  <dcterms:modified xsi:type="dcterms:W3CDTF">2019-06-14T07:39:05Z</dcterms:modified>
  <dc:title>淮北地区“十四五”电网发展研究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2052-9.1.0.4475</vt:lpwstr>
  </property>
</Properties>
</file>